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07949c3b5a4f3127c82a257b65fd7bc114a180"/>
    <w:p>
      <w:pPr>
        <w:pStyle w:val="Heading1"/>
      </w:pPr>
      <w:r>
        <w:t xml:space="preserve">Procedimiento ante visita de verificación del SAT</w:t>
      </w:r>
    </w:p>
    <w:p>
      <w:pPr>
        <w:pStyle w:val="BlockText"/>
      </w:pPr>
      <w:r>
        <w:t xml:space="preserve">Fuente: Cap. 6 —</w:t>
      </w:r>
      <w:r>
        <w:t xml:space="preserve"> </w:t>
      </w:r>
      <w:r>
        <w:rPr>
          <w:iCs/>
          <w:i/>
        </w:rPr>
        <w:t xml:space="preserve">Sujetos Obligados: Manual de cumplimiento LFPIORPI</w:t>
      </w:r>
      <w:r>
        <w:t xml:space="preserve">, Sergio Armando Cortina Ceballos. Transcripción verbatim de las secciones 6.4 (procedimiento paso a paso), 6.5 (derechos), 6.6 (desvirtuación) y 6.9 (checklist de autocorrección). Pendiente de cite-check humano (estado: pendiente-citecheck).</w:t>
      </w:r>
    </w:p>
    <w:p>
      <w:r>
        <w:pict>
          <v:rect style="width:0;height:1.5pt" o:hralign="center" o:hrstd="t" o:hr="t"/>
        </w:pict>
      </w:r>
    </w:p>
    <w:bookmarkStart w:id="20" w:name="X9752feeba75baba8d4abecb747c1bfba776a5cb"/>
    <w:p>
      <w:pPr>
        <w:pStyle w:val="Heading2"/>
      </w:pPr>
      <w:r>
        <w:t xml:space="preserve">Procedimiento paso a paso de una visita programada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Notificación.</w:t>
      </w:r>
      <w:r>
        <w:t xml:space="preserve"> </w:t>
      </w:r>
      <w:r>
        <w:t xml:space="preserve">Recibe la notificación del SAT con la orden de verificación y la fecha de inicio. Tiene al menos 5 días hábiles para prepararse.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Preparación.</w:t>
      </w:r>
      <w:r>
        <w:t xml:space="preserve"> </w:t>
      </w:r>
      <w:r>
        <w:t xml:space="preserve">Use ese tiempo para:</w:t>
      </w:r>
    </w:p>
    <w:p>
      <w:pPr>
        <w:numPr>
          <w:ilvl w:val="1"/>
          <w:numId w:val="1002"/>
        </w:numPr>
        <w:pStyle w:val="Compact"/>
      </w:pPr>
      <w:r>
        <w:t xml:space="preserve">Revisar que todos los expedientes estén completos.</w:t>
      </w:r>
    </w:p>
    <w:p>
      <w:pPr>
        <w:numPr>
          <w:ilvl w:val="1"/>
          <w:numId w:val="1002"/>
        </w:numPr>
        <w:pStyle w:val="Compact"/>
      </w:pPr>
      <w:r>
        <w:t xml:space="preserve">Verificar que los avisos estén presentados y tengan acuse.</w:t>
      </w:r>
    </w:p>
    <w:p>
      <w:pPr>
        <w:numPr>
          <w:ilvl w:val="1"/>
          <w:numId w:val="1002"/>
        </w:numPr>
        <w:pStyle w:val="Compact"/>
      </w:pPr>
      <w:r>
        <w:t xml:space="preserve">Confirmar que los documentos de identificación de clientes estén en orden.</w:t>
      </w:r>
    </w:p>
    <w:p>
      <w:pPr>
        <w:numPr>
          <w:ilvl w:val="1"/>
          <w:numId w:val="1002"/>
        </w:numPr>
        <w:pStyle w:val="Compact"/>
      </w:pPr>
      <w:r>
        <w:t xml:space="preserve">Preparar un espacio físico para que los verificadores trabajen.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Inicio de la visita.</w:t>
      </w:r>
      <w:r>
        <w:t xml:space="preserve"> </w:t>
      </w:r>
      <w:r>
        <w:t xml:space="preserve">Los verificadores se presentan en la fecha y hora indicadas. Deben identificarse con credencial oficial y entregar la orden de verificación original.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Desarrollo de la visita.</w:t>
      </w:r>
      <w:r>
        <w:t xml:space="preserve"> </w:t>
      </w:r>
      <w:r>
        <w:t xml:space="preserve">Los verificadores revisan los documentos. Usted (o la persona designada) debe estar presente para atender sus solicitudes. Los verificadores pueden:</w:t>
      </w:r>
    </w:p>
    <w:p>
      <w:pPr>
        <w:numPr>
          <w:ilvl w:val="1"/>
          <w:numId w:val="1003"/>
        </w:numPr>
        <w:pStyle w:val="Compact"/>
      </w:pPr>
      <w:r>
        <w:t xml:space="preserve">Solicitar expedientes completos de clientes.</w:t>
      </w:r>
    </w:p>
    <w:p>
      <w:pPr>
        <w:numPr>
          <w:ilvl w:val="1"/>
          <w:numId w:val="1003"/>
        </w:numPr>
        <w:pStyle w:val="Compact"/>
      </w:pPr>
      <w:r>
        <w:t xml:space="preserve">Pedir copias de documentos.</w:t>
      </w:r>
    </w:p>
    <w:p>
      <w:pPr>
        <w:numPr>
          <w:ilvl w:val="1"/>
          <w:numId w:val="1003"/>
        </w:numPr>
        <w:pStyle w:val="Compact"/>
      </w:pPr>
      <w:r>
        <w:t xml:space="preserve">Revisar los sistemas informáticos.</w:t>
      </w:r>
    </w:p>
    <w:p>
      <w:pPr>
        <w:numPr>
          <w:ilvl w:val="1"/>
          <w:numId w:val="1003"/>
        </w:numPr>
        <w:pStyle w:val="Compact"/>
      </w:pPr>
      <w:r>
        <w:t xml:space="preserve">Entrevistar al personal (si es relevante para la verificación).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Acta de visita.</w:t>
      </w:r>
      <w:r>
        <w:t xml:space="preserve"> </w:t>
      </w:r>
      <w:r>
        <w:t xml:space="preserve">Al finalizar la revisión, los verificadores levantan un</w:t>
      </w:r>
      <w:r>
        <w:t xml:space="preserve"> </w:t>
      </w:r>
      <w:r>
        <w:rPr>
          <w:iCs/>
          <w:i/>
        </w:rPr>
        <w:t xml:space="preserve">acta de visita</w:t>
      </w:r>
      <w:r>
        <w:t xml:space="preserve"> </w:t>
      </w:r>
      <w:r>
        <w:t xml:space="preserve">que documenta:</w:t>
      </w:r>
    </w:p>
    <w:p>
      <w:pPr>
        <w:numPr>
          <w:ilvl w:val="1"/>
          <w:numId w:val="1004"/>
        </w:numPr>
        <w:pStyle w:val="Compact"/>
      </w:pPr>
      <w:r>
        <w:t xml:space="preserve">Los hechos constatados durante la visita.</w:t>
      </w:r>
    </w:p>
    <w:p>
      <w:pPr>
        <w:numPr>
          <w:ilvl w:val="1"/>
          <w:numId w:val="1004"/>
        </w:numPr>
        <w:pStyle w:val="Compact"/>
      </w:pPr>
      <w:r>
        <w:t xml:space="preserve">Los documentos revisados.</w:t>
      </w:r>
    </w:p>
    <w:p>
      <w:pPr>
        <w:numPr>
          <w:ilvl w:val="1"/>
          <w:numId w:val="1004"/>
        </w:numPr>
        <w:pStyle w:val="Compact"/>
      </w:pPr>
      <w:r>
        <w:t xml:space="preserve">Las observaciones o irregularidades detectadas (si las hay).</w:t>
      </w:r>
    </w:p>
    <w:p>
      <w:pPr>
        <w:numPr>
          <w:ilvl w:val="1"/>
          <w:numId w:val="1004"/>
        </w:numPr>
        <w:pStyle w:val="Compact"/>
      </w:pPr>
      <w:r>
        <w:t xml:space="preserve">Los plazos para subsanar las irregularidades.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Plazo de subsanación.</w:t>
      </w:r>
      <w:r>
        <w:t xml:space="preserve"> </w:t>
      </w:r>
      <w:r>
        <w:t xml:space="preserve">Si el acta contiene observaciones, usted tiene un plazo de</w:t>
      </w:r>
      <w:r>
        <w:t xml:space="preserve"> </w:t>
      </w:r>
      <w:r>
        <w:rPr>
          <w:bCs/>
          <w:b/>
        </w:rPr>
        <w:t xml:space="preserve">5 días hábiles</w:t>
      </w:r>
      <w:r>
        <w:t xml:space="preserve"> </w:t>
      </w:r>
      <w:r>
        <w:t xml:space="preserve">(Artículo 9 del Reglamento) para presentar la documentación faltante o corregir las irregularidades. Esto se conoce como</w:t>
      </w:r>
      <w:r>
        <w:t xml:space="preserve"> </w:t>
      </w:r>
      <w:r>
        <w:rPr>
          <w:iCs/>
          <w:i/>
        </w:rPr>
        <w:t xml:space="preserve">desvirtuación de observaciones</w:t>
      </w:r>
      <w:r>
        <w:t xml:space="preserve">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Resolución.</w:t>
      </w:r>
      <w:r>
        <w:t xml:space="preserve"> </w:t>
      </w:r>
      <w:r>
        <w:t xml:space="preserve">Después de analizar su respuesta, el SAT emite una resolución en la que determina si usted cumplió o no con sus obligaciones. Si no cumplió, se inicia el procedimiento sancionador.</w:t>
      </w:r>
    </w:p>
    <w:p>
      <w:r>
        <w:pict>
          <v:rect style="width:0;height:1.5pt" o:hralign="center" o:hrstd="t" o:hr="t"/>
        </w:pict>
      </w:r>
    </w:p>
    <w:bookmarkEnd w:id="20"/>
    <w:bookmarkStart w:id="22" w:name="X37f1f5505fa64846c751dbbf96cfdaeddad9233"/>
    <w:p>
      <w:pPr>
        <w:pStyle w:val="Heading2"/>
      </w:pPr>
      <w:r>
        <w:t xml:space="preserve">Derechos del sujeto obligado durante la visita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t xml:space="preserve">Derecho</w:t>
            </w:r>
          </w:p>
        </w:tc>
        <w:tc>
          <w:p>
            <w:pPr>
              <w:pStyle w:val="Compact"/>
              <w:jc w:val="left"/>
            </w:pPr>
            <w:r>
              <w:t xml:space="preserve">¿Qué implica?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Exigir la orden de verificación</w:t>
            </w:r>
          </w:p>
        </w:tc>
        <w:tc>
          <w:p>
            <w:pPr>
              <w:pStyle w:val="Compact"/>
              <w:jc w:val="left"/>
            </w:pPr>
            <w:r>
              <w:t xml:space="preserve">El verificador debe presentar la orden firmada por autoridad competente. Sin orden, no hay visita válida.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Exigir identificación</w:t>
            </w:r>
          </w:p>
        </w:tc>
        <w:tc>
          <w:p>
            <w:pPr>
              <w:pStyle w:val="Compact"/>
              <w:jc w:val="left"/>
            </w:pPr>
            <w:r>
              <w:t xml:space="preserve">El personal del SAT debe acreditarse con credencial oficial.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Que la visita se realice en el domicilio registrado</w:t>
            </w:r>
          </w:p>
        </w:tc>
        <w:tc>
          <w:p>
            <w:pPr>
              <w:pStyle w:val="Compact"/>
              <w:jc w:val="left"/>
            </w:pPr>
            <w:r>
              <w:t xml:space="preserve">No pueden realizar la visita en otro lugar sin su consentimiento.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Limitar la visita al alcance de la orden</w:t>
            </w:r>
          </w:p>
        </w:tc>
        <w:tc>
          <w:p>
            <w:pPr>
              <w:pStyle w:val="Compact"/>
              <w:jc w:val="left"/>
            </w:pPr>
            <w:r>
              <w:t xml:space="preserve">Si la orden solo cubre ciertos períodos o fracciones, no están obligados a mostrar documentación de otros períodos.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Contar con asesoría legal</w:t>
            </w:r>
          </w:p>
        </w:tc>
        <w:tc>
          <w:p>
            <w:pPr>
              <w:pStyle w:val="Compact"/>
              <w:jc w:val="left"/>
            </w:pPr>
            <w:r>
              <w:t xml:space="preserve">Puede tener a su abogado presente durante toda la visita.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Que le entreguen copia del acta</w:t>
            </w:r>
          </w:p>
        </w:tc>
        <w:tc>
          <w:p>
            <w:pPr>
              <w:pStyle w:val="Compact"/>
              <w:jc w:val="left"/>
            </w:pPr>
            <w:r>
              <w:t xml:space="preserve">Al finalizar, debe recibir copia del acta de visita.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Subsanar las observaciones</w:t>
            </w:r>
          </w:p>
        </w:tc>
        <w:tc>
          <w:p>
            <w:pPr>
              <w:pStyle w:val="Compact"/>
              <w:jc w:val="left"/>
            </w:pPr>
            <w:r>
              <w:t xml:space="preserve">Tiene derecho a presentar documentación para desvirtuar las observaciones dentro del plazo establecido.</w:t>
            </w:r>
          </w:p>
        </w:tc>
      </w:tr>
    </w:tbl>
    <w:bookmarkStart w:id="21" w:name="lo-que-no-puede-hacer-durante-la-visita"/>
    <w:p>
      <w:pPr>
        <w:pStyle w:val="Heading3"/>
      </w:pPr>
      <w:r>
        <w:t xml:space="preserve">Lo que NO puede hacer durante la visita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t xml:space="preserve">Lo que NO puede hacer</w:t>
            </w:r>
          </w:p>
        </w:tc>
        <w:tc>
          <w:p>
            <w:pPr>
              <w:pStyle w:val="Compact"/>
              <w:jc w:val="left"/>
            </w:pPr>
            <w:r>
              <w:t xml:space="preserve">¿Por qué?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Negar el acceso</w:t>
            </w:r>
          </w:p>
        </w:tc>
        <w:tc>
          <w:p>
            <w:pPr>
              <w:pStyle w:val="Compact"/>
              <w:jc w:val="left"/>
            </w:pPr>
            <w:r>
              <w:t xml:space="preserve">El Artículo 18, fracción VI obliga a facilitar las visitas. Negar el acceso es infracción grave.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Ocultar o destruir documentos</w:t>
            </w:r>
          </w:p>
        </w:tc>
        <w:tc>
          <w:p>
            <w:pPr>
              <w:pStyle w:val="Compact"/>
              <w:jc w:val="left"/>
            </w:pPr>
            <w:r>
              <w:t xml:space="preserve">Puede ser constitutivo de delito.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Negarse a proporcionar información</w:t>
            </w:r>
          </w:p>
        </w:tc>
        <w:tc>
          <w:p>
            <w:pPr>
              <w:pStyle w:val="Compact"/>
              <w:jc w:val="left"/>
            </w:pPr>
            <w:r>
              <w:t xml:space="preserve">Salvo que la información esté fuera del alcance de la orden.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Interferir con la revisión</w:t>
            </w:r>
          </w:p>
        </w:tc>
        <w:tc>
          <w:p>
            <w:pPr>
              <w:pStyle w:val="Compact"/>
              <w:jc w:val="left"/>
            </w:pPr>
            <w:r>
              <w:t xml:space="preserve">No puede obstruir el trabajo de los verificadores.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End w:id="22"/>
    <w:bookmarkStart w:id="23" w:name="X7463a05cd6ee49c7587010fd6ec381ed5b0c07c"/>
    <w:p>
      <w:pPr>
        <w:pStyle w:val="Heading2"/>
      </w:pPr>
      <w:r>
        <w:t xml:space="preserve">Proceso de desvirtuación de observaciones</w:t>
      </w:r>
    </w:p>
    <w:p>
      <w:pPr>
        <w:pStyle w:val="FirstParagraph"/>
      </w:pPr>
      <w:r>
        <w:t xml:space="preserve">Si el acta de visita contiene observaciones, usted tiene la oportunidad de corregirlas.</w:t>
      </w:r>
    </w:p>
    <w:p>
      <w:pPr>
        <w:pStyle w:val="BodyText"/>
      </w:pPr>
      <w:r>
        <w:rPr>
          <w:bCs/>
          <w:b/>
        </w:rPr>
        <w:t xml:space="preserve">Plazo:</w:t>
      </w:r>
      <w:r>
        <w:t xml:space="preserve"> </w:t>
      </w:r>
      <w:r>
        <w:t xml:space="preserve">5 días hábiles a partir de la fecha en que se le notifica el acta, conforme al Artículo 9 del Reglamento.</w:t>
      </w:r>
    </w:p>
    <w:p>
      <w:pPr>
        <w:pStyle w:val="BodyText"/>
      </w:pPr>
      <w:r>
        <w:rPr>
          <w:bCs/>
          <w:b/>
        </w:rPr>
        <w:t xml:space="preserve">¿Qué debe presentar?</w:t>
      </w:r>
    </w:p>
    <w:p>
      <w:pPr>
        <w:pStyle w:val="BodyText"/>
      </w:pPr>
      <w:r>
        <w:t xml:space="preserve">Un</w:t>
      </w:r>
      <w:r>
        <w:t xml:space="preserve"> </w:t>
      </w:r>
      <w:r>
        <w:rPr>
          <w:iCs/>
          <w:i/>
        </w:rPr>
        <w:t xml:space="preserve">escrito de desvirtuación</w:t>
      </w:r>
      <w:r>
        <w:t xml:space="preserve"> </w:t>
      </w:r>
      <w:r>
        <w:t xml:space="preserve">dirigido a la autoridad que realizó la visita, en el que: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Identifique cada observación</w:t>
      </w:r>
      <w:r>
        <w:t xml:space="preserve"> </w:t>
      </w:r>
      <w:r>
        <w:t xml:space="preserve">del acta, una por una.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Para cada observación</w:t>
      </w:r>
      <w:r>
        <w:t xml:space="preserve">, presente la documentación que la subsana. Por ejemplo:</w:t>
      </w:r>
    </w:p>
    <w:p>
      <w:pPr>
        <w:numPr>
          <w:ilvl w:val="1"/>
          <w:numId w:val="1006"/>
        </w:numPr>
        <w:pStyle w:val="Compact"/>
      </w:pPr>
      <w:r>
        <w:t xml:space="preserve">Si faltaba un comprobante de domicilio: presente el comprobante faltante.</w:t>
      </w:r>
    </w:p>
    <w:p>
      <w:pPr>
        <w:numPr>
          <w:ilvl w:val="1"/>
          <w:numId w:val="1006"/>
        </w:numPr>
        <w:pStyle w:val="Compact"/>
      </w:pPr>
      <w:r>
        <w:t xml:space="preserve">Si faltaba la identificación del BC: presente los documentos de identificación del BC.</w:t>
      </w:r>
    </w:p>
    <w:p>
      <w:pPr>
        <w:numPr>
          <w:ilvl w:val="1"/>
          <w:numId w:val="1006"/>
        </w:numPr>
        <w:pStyle w:val="Compact"/>
      </w:pPr>
      <w:r>
        <w:t xml:space="preserve">Si un aviso no fue presentado: presente el aviso (aunque sea extemporáneo) y explique por qué no se presentó a tiempo.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Argumente por qué</w:t>
      </w:r>
      <w:r>
        <w:t xml:space="preserve"> </w:t>
      </w:r>
      <w:r>
        <w:t xml:space="preserve">la documentación presentada demuestra que cumplió con la obligación.</w:t>
      </w:r>
    </w:p>
    <w:p>
      <w:pPr>
        <w:pStyle w:val="FirstParagraph"/>
      </w:pPr>
      <w:r>
        <w:rPr>
          <w:bCs/>
          <w:b/>
        </w:rPr>
        <w:t xml:space="preserve">Consejos prácticos:</w:t>
      </w:r>
      <w:r>
        <w:t xml:space="preserve"> </w:t>
      </w:r>
      <w:r>
        <w:t xml:space="preserve">- No ignore ninguna observación. Incluso las que le parezcan menores. Cada observación no atendida puede convertirse en una multa.</w:t>
      </w:r>
      <w:r>
        <w:t xml:space="preserve"> </w:t>
      </w:r>
      <w:r>
        <w:t xml:space="preserve">- Sea puntual. El plazo corre y no se prorroga. Si no presenta su respuesta a tiempo, las observaciones se consideran firmes.</w:t>
      </w:r>
      <w:r>
        <w:t xml:space="preserve"> </w:t>
      </w:r>
      <w:r>
        <w:t xml:space="preserve">- Acompañe cada documento con una explicación breve de cómo subsana la observación.</w:t>
      </w:r>
      <w:r>
        <w:t xml:space="preserve"> </w:t>
      </w:r>
      <w:r>
        <w:t xml:space="preserve">- Conserve copia de todo lo que presente y del acuse de recepción.</w:t>
      </w:r>
    </w:p>
    <w:p>
      <w:r>
        <w:pict>
          <v:rect style="width:0;height:1.5pt" o:hralign="center" o:hrstd="t" o:hr="t"/>
        </w:pict>
      </w:r>
    </w:p>
    <w:bookmarkEnd w:id="23"/>
    <w:bookmarkStart w:id="24" w:name="X9440729f36d9d2fb3a2b0c42c9dc12a03ff60fe"/>
    <w:p>
      <w:pPr>
        <w:pStyle w:val="Heading2"/>
      </w:pPr>
      <w:r>
        <w:t xml:space="preserve">Checklist de autocorrección — Art. 55 LFPIORPI</w:t>
      </w:r>
    </w:p>
    <w:p>
      <w:pPr>
        <w:pStyle w:val="FirstParagraph"/>
      </w:pPr>
      <w:r>
        <w:rPr>
          <w:iCs/>
          <w:i/>
        </w:rPr>
        <w:t xml:space="preserve">(Para uso antes de la visita o en caso de detectar incumplimientos)</w:t>
      </w:r>
    </w:p>
    <w:p>
      <w:pPr>
        <w:numPr>
          <w:ilvl w:val="0"/>
          <w:numId w:val="1007"/>
        </w:numPr>
        <w:pStyle w:val="Compact"/>
      </w:pPr>
      <w:r>
        <w:t xml:space="preserve">☐ ¿Ha identificado todos los avisos omitidos en los períodos que pretende regularizar?</w:t>
      </w:r>
    </w:p>
    <w:p>
      <w:pPr>
        <w:numPr>
          <w:ilvl w:val="0"/>
          <w:numId w:val="1007"/>
        </w:numPr>
        <w:pStyle w:val="Compact"/>
      </w:pPr>
      <w:r>
        <w:t xml:space="preserve">☐ ¿Ha verificado que la documentación faltante de los expedientes de clientes está completa y disponible?</w:t>
      </w:r>
    </w:p>
    <w:p>
      <w:pPr>
        <w:numPr>
          <w:ilvl w:val="0"/>
          <w:numId w:val="1007"/>
        </w:numPr>
        <w:pStyle w:val="Compact"/>
      </w:pPr>
      <w:r>
        <w:t xml:space="preserve">☐ ¿Ha confirmado que no hay una visita de verificación notificada o en curso?</w:t>
      </w:r>
    </w:p>
    <w:p>
      <w:pPr>
        <w:numPr>
          <w:ilvl w:val="0"/>
          <w:numId w:val="1007"/>
        </w:numPr>
        <w:pStyle w:val="Compact"/>
      </w:pPr>
      <w:r>
        <w:t xml:space="preserve">☐ ¿Ha verificado que no ha sido sancionado previamente por el mismo tipo de incumplimiento?</w:t>
      </w:r>
    </w:p>
    <w:p>
      <w:pPr>
        <w:numPr>
          <w:ilvl w:val="0"/>
          <w:numId w:val="1007"/>
        </w:numPr>
        <w:pStyle w:val="Compact"/>
      </w:pPr>
      <w:r>
        <w:t xml:space="preserve">☐ ¿Ha preparado un escrito que describa cada incumplimiento y la corrección realizada?</w:t>
      </w:r>
    </w:p>
    <w:p>
      <w:pPr>
        <w:numPr>
          <w:ilvl w:val="0"/>
          <w:numId w:val="1007"/>
        </w:numPr>
        <w:pStyle w:val="Compact"/>
      </w:pPr>
      <w:r>
        <w:t xml:space="preserve">☐ ¿Ha presentado los avisos omitidos a través del SPPLD (si aplica) y conservado los acuses?</w:t>
      </w:r>
    </w:p>
    <w:p>
      <w:pPr>
        <w:numPr>
          <w:ilvl w:val="0"/>
          <w:numId w:val="1007"/>
        </w:numPr>
        <w:pStyle w:val="Compact"/>
      </w:pPr>
      <w:r>
        <w:t xml:space="preserve">☐ ¿Ha documentado la fecha de la autocorrección y los fundamentos legales aplicables?</w:t>
      </w:r>
    </w:p>
    <w:p>
      <w:pPr>
        <w:numPr>
          <w:ilvl w:val="0"/>
          <w:numId w:val="1007"/>
        </w:numPr>
        <w:pStyle w:val="Compact"/>
      </w:pPr>
      <w:r>
        <w:t xml:space="preserve">☐ ¿Ha consultado con un asesor legal si existe riesgo de que el incumplimiento esté vinculado con operaciones ilícitas?</w:t>
      </w:r>
    </w:p>
    <w:p>
      <w:r>
        <w:pict>
          <v:rect style="width:0;height:1.5pt" o:hralign="center" o:hrstd="t" o:hr="t"/>
        </w:pict>
      </w:r>
    </w:p>
    <w:bookmarkEnd w:id="24"/>
    <w:bookmarkStart w:id="25" w:name="X541a8449f10a8aba51bed5e56720f9b2ce2873e"/>
    <w:p>
      <w:pPr>
        <w:pStyle w:val="Heading2"/>
      </w:pPr>
      <w:r>
        <w:t xml:space="preserve">Top 5 de infracciones detectadas en visitas de verificación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c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p>
            <w:pPr>
              <w:pStyle w:val="Compact"/>
              <w:jc w:val="left"/>
            </w:pPr>
            <w:r>
              <w:t xml:space="preserve">Infracción</w:t>
            </w:r>
          </w:p>
        </w:tc>
        <w:tc>
          <w:p>
            <w:pPr>
              <w:pStyle w:val="Compact"/>
              <w:jc w:val="left"/>
            </w:pPr>
            <w:r>
              <w:t xml:space="preserve">¿Por qué ocurre?</w:t>
            </w:r>
          </w:p>
        </w:tc>
        <w:tc>
          <w:p>
            <w:pPr>
              <w:pStyle w:val="Compact"/>
              <w:jc w:val="left"/>
            </w:pPr>
            <w:r>
              <w:t xml:space="preserve">¿Cómo evitarla?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No identificar al BC</w:t>
            </w:r>
          </w:p>
        </w:tc>
        <w:tc>
          <w:p>
            <w:pPr>
              <w:pStyle w:val="Compact"/>
              <w:jc w:val="left"/>
            </w:pPr>
            <w:r>
              <w:t xml:space="preserve">El sujeto obligado no pregunta al cliente quién es el BC o no documenta la respuesta</w:t>
            </w:r>
          </w:p>
        </w:tc>
        <w:tc>
          <w:p>
            <w:pPr>
              <w:pStyle w:val="Compact"/>
              <w:jc w:val="left"/>
            </w:pPr>
            <w:r>
              <w:t xml:space="preserve">Incorpore la pregunta del BC en su formato de identificación de clientes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Expedientes incompletos</w:t>
            </w:r>
          </w:p>
        </w:tc>
        <w:tc>
          <w:p>
            <w:pPr>
              <w:pStyle w:val="Compact"/>
              <w:jc w:val="left"/>
            </w:pPr>
            <w:r>
              <w:t xml:space="preserve">Falta algún documento (comprobante de domicilio, RFC, copia de identificación)</w:t>
            </w:r>
          </w:p>
        </w:tc>
        <w:tc>
          <w:p>
            <w:pPr>
              <w:pStyle w:val="Compact"/>
              <w:jc w:val="left"/>
            </w:pPr>
            <w:r>
              <w:t xml:space="preserve">Use la checklist de expediente para cada cliente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Avisos extemporáneos</w:t>
            </w:r>
          </w:p>
        </w:tc>
        <w:tc>
          <w:p>
            <w:pPr>
              <w:pStyle w:val="Compact"/>
              <w:jc w:val="left"/>
            </w:pPr>
            <w:r>
              <w:t xml:space="preserve">El aviso se presenta después del día 17</w:t>
            </w:r>
          </w:p>
        </w:tc>
        <w:tc>
          <w:p>
            <w:pPr>
              <w:pStyle w:val="Compact"/>
              <w:jc w:val="left"/>
            </w:pPr>
            <w:r>
              <w:t xml:space="preserve">Use un calendario de cumplimiento con recordatorios automáticos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No presentar informe de ceros</w:t>
            </w:r>
          </w:p>
        </w:tc>
        <w:tc>
          <w:p>
            <w:pPr>
              <w:pStyle w:val="Compact"/>
              <w:jc w:val="left"/>
            </w:pPr>
            <w:r>
              <w:t xml:space="preserve">El sujeto obligado cree que si no hay operaciones no debe reportar</w:t>
            </w:r>
          </w:p>
        </w:tc>
        <w:tc>
          <w:p>
            <w:pPr>
              <w:pStyle w:val="Compact"/>
              <w:jc w:val="left"/>
            </w:pPr>
            <w:r>
              <w:t xml:space="preserve">El informe en ceros es obligatorio siempre que no haya operaciones objeto de aviso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Identificación vencida del cliente</w:t>
            </w:r>
          </w:p>
        </w:tc>
        <w:tc>
          <w:p>
            <w:pPr>
              <w:pStyle w:val="Compact"/>
              <w:jc w:val="left"/>
            </w:pPr>
            <w:r>
              <w:t xml:space="preserve">El cliente presentó una identificación que ya no era válida y no se detectó</w:t>
            </w:r>
          </w:p>
        </w:tc>
        <w:tc>
          <w:p>
            <w:pPr>
              <w:pStyle w:val="Compact"/>
              <w:jc w:val="left"/>
            </w:pPr>
            <w:r>
              <w:t xml:space="preserve">Verifique la vigencia de cada identificación al momento de la operación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Plantilla elaborada con base en el Cap. 6 del libro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Sujetos Obligados: Manual de cumplimiento LFPIORPI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de Sergio Armando Cortina Ceballos. Estado: pendiente-citecheck. Referencias: Art. 9 Reglamento LFPIORPI; Art. 18 frac. VI; Art. 52-56 LFPIORPI; Art. 55 LFPIORPI.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2026-05-24T05:59:19Z</dcterms:created>
  <dcterms:modified xsi:type="dcterms:W3CDTF">2026-05-24T05:59:19Z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