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7" w:name="X99a6e629749bc45a9c840a702fddf7838070028"/>
    <w:p>
      <w:pPr>
        <w:pStyle w:val="Heading1"/>
      </w:pPr>
      <w:r>
        <w:t xml:space="preserve">Manual de Cumplimiento — Estructura recomendada</w:t>
      </w:r>
    </w:p>
    <w:p>
      <w:pPr>
        <w:pStyle w:val="BlockText"/>
      </w:pPr>
      <w:r>
        <w:t xml:space="preserve">Fuente: Cap. 25</w:t>
      </w:r>
      <w:r>
        <w:t xml:space="preserve"> </w:t>
      </w:r>
      <w:r>
        <w:t xml:space="preserve">“</w:t>
      </w:r>
      <w:r>
        <w:t xml:space="preserve">El Manual de Cumplimiento</w:t>
      </w:r>
      <w:r>
        <w:t xml:space="preserve">”</w:t>
      </w:r>
      <w:r>
        <w:t xml:space="preserve"> </w:t>
      </w:r>
      <w:r>
        <w:t xml:space="preserve">—</w:t>
      </w:r>
      <w:r>
        <w:t xml:space="preserve"> </w:t>
      </w:r>
      <w:r>
        <w:rPr>
          <w:iCs/>
          <w:i/>
        </w:rPr>
        <w:t xml:space="preserve">Sujetos Obligados: Manual de cumplimiento LFPIORPI</w:t>
      </w:r>
      <w:r>
        <w:t xml:space="preserve">, Sergio Armando Cortina Ceballos. Reproducido verbatim para uso de referencia; pendiente de cite-check humano (estado: pendiente-citecheck).</w:t>
      </w:r>
    </w:p>
    <w:p>
      <w:r>
        <w:pict>
          <v:rect style="width:0;height:1.5pt" o:hralign="center" o:hrstd="t" o:hr="t"/>
        </w:pict>
      </w:r>
    </w:p>
    <w:bookmarkStart w:id="20" w:name="para-qué-sirve-el-manual"/>
    <w:p>
      <w:pPr>
        <w:pStyle w:val="Heading2"/>
      </w:pPr>
      <w:r>
        <w:t xml:space="preserve">Para qué sirve el Manual</w:t>
      </w:r>
    </w:p>
    <w:p>
      <w:pPr>
        <w:pStyle w:val="FirstParagraph"/>
      </w:pPr>
      <w:r>
        <w:t xml:space="preserve">El Manual de Cumplimiento es el documento donde usted describe, por escrito, cómo va a cumplir cada una de las obligaciones que la LFPIORPI le impone. No es un requisito burocrático más — es la columna vertebral de su sistema de cumplimiento.</w:t>
      </w:r>
    </w:p>
    <w:p>
      <w:pPr>
        <w:pStyle w:val="BodyText"/>
      </w:pPr>
      <w:r>
        <w:t xml:space="preserve">Cuando el SAT llegue a una visita de verificación, una de las primeras cosas que pedirá será el Manual. Si no existe, eso ya es una infracción. Si existe, pero está mal redactado o no refleja lo que realmente hace la organización, también es una infracción.</w:t>
      </w:r>
    </w:p>
    <w:p>
      <w:pPr>
        <w:pStyle w:val="BodyText"/>
      </w:pPr>
      <w:r>
        <w:t xml:space="preserve">El Manual tiene tres funciones principales:</w:t>
      </w:r>
    </w:p>
    <w:p>
      <w:pPr>
        <w:pStyle w:val="BodyText"/>
      </w:pPr>
      <w:r>
        <w:rPr>
          <w:bCs/>
          <w:b/>
        </w:rPr>
        <w:t xml:space="preserve">Función interna.</w:t>
      </w:r>
      <w:r>
        <w:t xml:space="preserve"> </w:t>
      </w:r>
      <w:r>
        <w:t xml:space="preserve">Sirve como guía para usted y su personal. Cuando alguien tenga una duda — ¿cómo identifico a un cliente? ¿cuándo debo presentar un aviso? ¿qué hago si el cliente se niega a dar información? — la respuesta debe estar en el Manual.</w:t>
      </w:r>
    </w:p>
    <w:p>
      <w:pPr>
        <w:pStyle w:val="BodyText"/>
      </w:pPr>
      <w:r>
        <w:rPr>
          <w:bCs/>
          <w:b/>
        </w:rPr>
        <w:t xml:space="preserve">Función externa.</w:t>
      </w:r>
      <w:r>
        <w:t xml:space="preserve"> </w:t>
      </w:r>
      <w:r>
        <w:t xml:space="preserve">Es el documento que la autoridad revisará para verificar que usted tiene un sistema de cumplimiento. El Artículo 18, fracción VII exige</w:t>
      </w:r>
      <w:r>
        <w:t xml:space="preserve"> </w:t>
      </w:r>
      <w:r>
        <w:t xml:space="preserve">“</w:t>
      </w:r>
      <w:r>
        <w:t xml:space="preserve">políticas escritas de cumplimiento</w:t>
      </w:r>
      <w:r>
        <w:t xml:space="preserve">”</w:t>
      </w:r>
      <w:r>
        <w:t xml:space="preserve">. El Manual es donde esas políticas se materializan.</w:t>
      </w:r>
    </w:p>
    <w:p>
      <w:pPr>
        <w:pStyle w:val="BodyText"/>
      </w:pPr>
      <w:r>
        <w:rPr>
          <w:bCs/>
          <w:b/>
        </w:rPr>
        <w:t xml:space="preserve">Función de defensa.</w:t>
      </w:r>
      <w:r>
        <w:t xml:space="preserve"> </w:t>
      </w:r>
      <w:r>
        <w:t xml:space="preserve">Si algo sale mal — por ejemplo, el SAT detecta que una operación no fue reportada — tener un Manual bien redactado y seguido demuestra que usted actuó de buena fe y con diligencia. No lo exime de responsabilidad, pero pesa a su favor.</w:t>
      </w:r>
    </w:p>
    <w:p>
      <w:r>
        <w:pict>
          <v:rect style="width:0;height:1.5pt" o:hralign="center" o:hrstd="t" o:hr="t"/>
        </w:pict>
      </w:r>
    </w:p>
    <w:bookmarkEnd w:id="20"/>
    <w:bookmarkStart w:id="35" w:name="estructura-recomendada-del-manual"/>
    <w:p>
      <w:pPr>
        <w:pStyle w:val="Heading2"/>
      </w:pPr>
      <w:r>
        <w:t xml:space="preserve">Estructura recomendada del Manual</w:t>
      </w:r>
    </w:p>
    <w:bookmarkStart w:id="21" w:name="portada-y-control-de-versiones"/>
    <w:p>
      <w:pPr>
        <w:pStyle w:val="Heading3"/>
      </w:pPr>
      <w:r>
        <w:t xml:space="preserve">1. Portada y control de versiones</w:t>
      </w:r>
    </w:p>
    <w:p>
      <w:pPr>
        <w:pStyle w:val="FirstParagraph"/>
      </w:pPr>
      <w:r>
        <w:t xml:space="preserve">Datos mínimos:</w:t>
      </w:r>
    </w:p>
    <w:p>
      <w:pPr>
        <w:numPr>
          <w:ilvl w:val="0"/>
          <w:numId w:val="1001"/>
        </w:numPr>
        <w:pStyle w:val="Compact"/>
      </w:pPr>
      <w:r>
        <w:t xml:space="preserve">Nombre completo del sujeto obligado (persona física o moral) y RFC.</w:t>
      </w:r>
    </w:p>
    <w:p>
      <w:pPr>
        <w:numPr>
          <w:ilvl w:val="0"/>
          <w:numId w:val="1001"/>
        </w:numPr>
        <w:pStyle w:val="Compact"/>
      </w:pPr>
      <w:r>
        <w:t xml:space="preserve">Fecha de elaboración y versión del documento.</w:t>
      </w:r>
    </w:p>
    <w:p>
      <w:pPr>
        <w:numPr>
          <w:ilvl w:val="0"/>
          <w:numId w:val="1001"/>
        </w:numPr>
        <w:pStyle w:val="Compact"/>
      </w:pPr>
      <w:r>
        <w:t xml:space="preserve">Nombre y cargo del responsable de cumplimiento (Artículo 20 de la LFPIORPI).</w:t>
      </w:r>
    </w:p>
    <w:p>
      <w:pPr>
        <w:numPr>
          <w:ilvl w:val="0"/>
          <w:numId w:val="1001"/>
        </w:numPr>
        <w:pStyle w:val="Compact"/>
      </w:pPr>
      <w:r>
        <w:t xml:space="preserve">Historial de revisiones: versión, fecha, cambios realizados, quien autorizó.</w:t>
      </w:r>
    </w:p>
    <w:p>
      <w:pPr>
        <w:pStyle w:val="FirstParagraph"/>
      </w:pPr>
      <w:r>
        <w:t xml:space="preserve">El Manual debe revisarse al menos una vez al año (idealmente después de la auditoría anual del Art. 18, frac. XI), y siempre que haya un cambio normativo relevante. Cada revisión se registra en la tabla de control de versiones.</w:t>
      </w:r>
    </w:p>
    <w:tbl>
      <w:tblPr>
        <w:tblStyle w:val="Table"/>
        <w:tblW w:type="pct" w:w="5000.0"/>
        <w:tblLook w:firstRow="1" w:lastRow="0" w:firstColumn="0" w:lastColumn="0" w:noHBand="0" w:noVBand="0" w:val="0020"/>
      </w:tblPr>
      <w:tblGrid>
        <w:gridCol w:w="858"/>
        <w:gridCol w:w="1335"/>
        <w:gridCol w:w="3148"/>
        <w:gridCol w:w="2576"/>
      </w:tblGrid>
      <w:tr>
        <w:tc>
          <w:p>
            <w:pPr>
              <w:pStyle w:val="Compact"/>
              <w:jc w:val="left"/>
            </w:pPr>
            <w:r>
              <w:t xml:space="preserve">Versión</w:t>
            </w:r>
          </w:p>
        </w:tc>
        <w:tc>
          <w:p>
            <w:pPr>
              <w:pStyle w:val="Compact"/>
              <w:jc w:val="left"/>
            </w:pPr>
            <w:r>
              <w:t xml:space="preserve">Fecha</w:t>
            </w:r>
          </w:p>
        </w:tc>
        <w:tc>
          <w:p>
            <w:pPr>
              <w:pStyle w:val="Compact"/>
              <w:jc w:val="left"/>
            </w:pPr>
            <w:r>
              <w:t xml:space="preserve">Cambios</w:t>
            </w:r>
          </w:p>
        </w:tc>
        <w:tc>
          <w:p>
            <w:pPr>
              <w:pStyle w:val="Compact"/>
              <w:jc w:val="left"/>
            </w:pPr>
            <w:r>
              <w:t xml:space="preserve">Autorizó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1.0</w:t>
            </w:r>
          </w:p>
        </w:tc>
        <w:tc>
          <w:p>
            <w:pPr>
              <w:pStyle w:val="Compact"/>
              <w:jc w:val="left"/>
            </w:pPr>
            <w:r>
              <w:t xml:space="preserve">02-ene-2026</w:t>
            </w:r>
          </w:p>
        </w:tc>
        <w:tc>
          <w:p>
            <w:pPr>
              <w:pStyle w:val="Compact"/>
              <w:jc w:val="left"/>
            </w:pPr>
            <w:r>
              <w:t xml:space="preserve">Versión inicial</w:t>
            </w:r>
          </w:p>
        </w:tc>
        <w:tc>
          <w:p>
            <w:pPr>
              <w:pStyle w:val="Compact"/>
              <w:jc w:val="left"/>
            </w:pPr>
            <w:r>
              <w:t xml:space="preserve">Titular / Rep. Cumpl.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1.1</w:t>
            </w:r>
          </w:p>
        </w:tc>
        <w:tc>
          <w:p>
            <w:pPr>
              <w:pStyle w:val="Compact"/>
              <w:jc w:val="left"/>
            </w:pPr>
            <w:r>
              <w:t xml:space="preserve">15-mar-2026</w:t>
            </w:r>
          </w:p>
        </w:tc>
        <w:tc>
          <w:p>
            <w:pPr>
              <w:pStyle w:val="Compact"/>
              <w:jc w:val="left"/>
            </w:pPr>
            <w:r>
              <w:t xml:space="preserve">Actualización post-reforma RCG</w:t>
            </w:r>
          </w:p>
        </w:tc>
        <w:tc>
          <w:p>
            <w:pPr>
              <w:pStyle w:val="Compact"/>
              <w:jc w:val="left"/>
            </w:pPr>
            <w:r>
              <w:t xml:space="preserve">Rep. Cumplimiento</w:t>
            </w:r>
          </w:p>
        </w:tc>
      </w:tr>
    </w:tbl>
    <w:bookmarkEnd w:id="21"/>
    <w:bookmarkStart w:id="22" w:name="marco-normativo-aplicable"/>
    <w:p>
      <w:pPr>
        <w:pStyle w:val="Heading3"/>
      </w:pPr>
      <w:r>
        <w:t xml:space="preserve">2. Marco normativo aplicable</w:t>
      </w:r>
    </w:p>
    <w:p>
      <w:pPr>
        <w:pStyle w:val="FirstParagraph"/>
      </w:pPr>
      <w:r>
        <w:t xml:space="preserve">Lista de las disposiciones legales que aplican al sujeto obligado. Cada disposición debe citarse con su referencia completa (tipo, título, fecha de publicación en el DOF). Mínimo:</w:t>
      </w:r>
    </w:p>
    <w:p>
      <w:pPr>
        <w:numPr>
          <w:ilvl w:val="0"/>
          <w:numId w:val="1002"/>
        </w:numPr>
        <w:pStyle w:val="Compact"/>
      </w:pPr>
      <w:r>
        <w:t xml:space="preserve">LFPIORPI (DOF 17-oct-2012, reforma DOF 16-jul-2025).</w:t>
      </w:r>
    </w:p>
    <w:p>
      <w:pPr>
        <w:numPr>
          <w:ilvl w:val="0"/>
          <w:numId w:val="1002"/>
        </w:numPr>
        <w:pStyle w:val="Compact"/>
      </w:pPr>
      <w:r>
        <w:t xml:space="preserve">Reglamento de la LFPIORPI (DOF 16-ago-2013, reforma DOF 27-mar-2026).</w:t>
      </w:r>
    </w:p>
    <w:p>
      <w:pPr>
        <w:numPr>
          <w:ilvl w:val="0"/>
          <w:numId w:val="1002"/>
        </w:numPr>
        <w:pStyle w:val="Compact"/>
      </w:pPr>
      <w:r>
        <w:t xml:space="preserve">Reglas de Carácter General (Acuerdo 02/2013 y sus reformas).</w:t>
      </w:r>
    </w:p>
    <w:p>
      <w:pPr>
        <w:numPr>
          <w:ilvl w:val="0"/>
          <w:numId w:val="1002"/>
        </w:numPr>
        <w:pStyle w:val="Compact"/>
      </w:pPr>
      <w:r>
        <w:t xml:space="preserve">Resoluciones de formatos de alta, registro, avisos e informes.</w:t>
      </w:r>
    </w:p>
    <w:p>
      <w:pPr>
        <w:numPr>
          <w:ilvl w:val="0"/>
          <w:numId w:val="1002"/>
        </w:numPr>
        <w:pStyle w:val="Compact"/>
      </w:pPr>
      <w:r>
        <w:t xml:space="preserve">Ley del Notariado local (si aplica como fedatario).</w:t>
      </w:r>
    </w:p>
    <w:p>
      <w:pPr>
        <w:numPr>
          <w:ilvl w:val="0"/>
          <w:numId w:val="1002"/>
        </w:numPr>
        <w:pStyle w:val="Compact"/>
      </w:pPr>
      <w:r>
        <w:t xml:space="preserve">Código Fiscal de la Federación (para lo relativo a FIEL).</w:t>
      </w:r>
    </w:p>
    <w:bookmarkEnd w:id="22"/>
    <w:bookmarkStart w:id="23" w:name="X1f364f05d6dccc81d4fa7da178a345fe40754b3"/>
    <w:p>
      <w:pPr>
        <w:pStyle w:val="Heading3"/>
      </w:pPr>
      <w:r>
        <w:t xml:space="preserve">3. Identificación de las actividades vulnerables</w:t>
      </w:r>
    </w:p>
    <w:p>
      <w:pPr>
        <w:pStyle w:val="FirstParagraph"/>
      </w:pPr>
      <w:r>
        <w:t xml:space="preserve">Aquí usted declara qué actividad(es) vulnerable(s) realiza, especificando:</w:t>
      </w:r>
    </w:p>
    <w:p>
      <w:pPr>
        <w:numPr>
          <w:ilvl w:val="0"/>
          <w:numId w:val="1003"/>
        </w:numPr>
        <w:pStyle w:val="Compact"/>
      </w:pPr>
      <w:r>
        <w:t xml:space="preserve">La fracción del Artículo 17 que le aplica.</w:t>
      </w:r>
    </w:p>
    <w:p>
      <w:pPr>
        <w:numPr>
          <w:ilvl w:val="0"/>
          <w:numId w:val="1003"/>
        </w:numPr>
        <w:pStyle w:val="Compact"/>
      </w:pPr>
      <w:r>
        <w:t xml:space="preserve">El tipo de actos u operaciones que realiza bajo cada fracción.</w:t>
      </w:r>
    </w:p>
    <w:p>
      <w:pPr>
        <w:numPr>
          <w:ilvl w:val="0"/>
          <w:numId w:val="1003"/>
        </w:numPr>
        <w:pStyle w:val="Compact"/>
      </w:pPr>
      <w:r>
        <w:t xml:space="preserve">Los umbrales de identificación y de aviso que le corresponden, calculados en UMA y en pesos.</w:t>
      </w:r>
    </w:p>
    <w:bookmarkEnd w:id="23"/>
    <w:bookmarkStart w:id="24" w:name="X22d6fc81e05c70628ca02130b286879fc34875b"/>
    <w:p>
      <w:pPr>
        <w:pStyle w:val="Heading3"/>
      </w:pPr>
      <w:r>
        <w:t xml:space="preserve">4. Política de identificación de clientes (KYC)</w:t>
      </w:r>
    </w:p>
    <w:p>
      <w:pPr>
        <w:pStyle w:val="FirstParagraph"/>
      </w:pPr>
      <w:r>
        <w:t xml:space="preserve">Elementos mínimos:</w:t>
      </w:r>
    </w:p>
    <w:p>
      <w:pPr>
        <w:numPr>
          <w:ilvl w:val="0"/>
          <w:numId w:val="1004"/>
        </w:numPr>
        <w:pStyle w:val="Compact"/>
      </w:pPr>
      <w:r>
        <w:t xml:space="preserve">Cuándo debe identificar a un cliente (umbral de identificación de su fracción, o</w:t>
      </w:r>
      <w:r>
        <w:t xml:space="preserve"> </w:t>
      </w:r>
      <w:r>
        <w:t xml:space="preserve">“</w:t>
      </w:r>
      <w:r>
        <w:t xml:space="preserve">siempre</w:t>
      </w:r>
      <w:r>
        <w:t xml:space="preserve">”</w:t>
      </w:r>
      <w:r>
        <w:t xml:space="preserve"> </w:t>
      </w:r>
      <w:r>
        <w:t xml:space="preserve">si aplica).</w:t>
      </w:r>
    </w:p>
    <w:p>
      <w:pPr>
        <w:numPr>
          <w:ilvl w:val="0"/>
          <w:numId w:val="1004"/>
        </w:numPr>
        <w:pStyle w:val="Compact"/>
      </w:pPr>
      <w:r>
        <w:t xml:space="preserve">Documentos que solicitará para personas físicas y para personas morales.</w:t>
      </w:r>
    </w:p>
    <w:p>
      <w:pPr>
        <w:numPr>
          <w:ilvl w:val="0"/>
          <w:numId w:val="1004"/>
        </w:numPr>
        <w:pStyle w:val="Compact"/>
      </w:pPr>
      <w:r>
        <w:t xml:space="preserve">Procedimiento si el cliente se niega a identificarse (negarse a realizar la operación, Art. 18 frac. I).</w:t>
      </w:r>
    </w:p>
    <w:p>
      <w:pPr>
        <w:numPr>
          <w:ilvl w:val="0"/>
          <w:numId w:val="1004"/>
        </w:numPr>
        <w:pStyle w:val="Compact"/>
      </w:pPr>
      <w:r>
        <w:t xml:space="preserve">Plazo para integrar el expediente de identificación.</w:t>
      </w:r>
    </w:p>
    <w:p>
      <w:pPr>
        <w:numPr>
          <w:ilvl w:val="0"/>
          <w:numId w:val="1004"/>
        </w:numPr>
        <w:pStyle w:val="Compact"/>
      </w:pPr>
      <w:r>
        <w:t xml:space="preserve">Qué hacer si la identificación oficial está vencida o tiene alteraciones.</w:t>
      </w:r>
    </w:p>
    <w:bookmarkEnd w:id="24"/>
    <w:bookmarkStart w:id="25" w:name="Xdec6e0e4485838e340890457c358dbb0e497f09"/>
    <w:p>
      <w:pPr>
        <w:pStyle w:val="Heading3"/>
      </w:pPr>
      <w:r>
        <w:t xml:space="preserve">5. Política de identificación del beneficiario controlador</w:t>
      </w:r>
    </w:p>
    <w:p>
      <w:pPr>
        <w:pStyle w:val="FirstParagraph"/>
      </w:pPr>
      <w:r>
        <w:t xml:space="preserve">Elementos mínimos:</w:t>
      </w:r>
    </w:p>
    <w:p>
      <w:pPr>
        <w:numPr>
          <w:ilvl w:val="0"/>
          <w:numId w:val="1005"/>
        </w:numPr>
        <w:pStyle w:val="Compact"/>
      </w:pPr>
      <w:r>
        <w:t xml:space="preserve">Pregunta obligatoria al cliente:</w:t>
      </w:r>
      <w:r>
        <w:t xml:space="preserve"> </w:t>
      </w:r>
      <w:r>
        <w:t xml:space="preserve">“</w:t>
      </w:r>
      <w:r>
        <w:t xml:space="preserve">¿es usted el beneficiario controlador?</w:t>
      </w:r>
      <w:r>
        <w:t xml:space="preserve">”</w:t>
      </w:r>
    </w:p>
    <w:p>
      <w:pPr>
        <w:numPr>
          <w:ilvl w:val="0"/>
          <w:numId w:val="1005"/>
        </w:numPr>
        <w:pStyle w:val="Compact"/>
      </w:pPr>
      <w:r>
        <w:t xml:space="preserve">Documentos que solicitará para acreditar al BC (identificación oficial del BC, cadena de propiedad, organigrama corporativo).</w:t>
      </w:r>
    </w:p>
    <w:p>
      <w:pPr>
        <w:numPr>
          <w:ilvl w:val="0"/>
          <w:numId w:val="1005"/>
        </w:numPr>
        <w:pStyle w:val="Compact"/>
      </w:pPr>
      <w:r>
        <w:t xml:space="preserve">Procedimiento si el BC es una PEP.</w:t>
      </w:r>
    </w:p>
    <w:p>
      <w:pPr>
        <w:numPr>
          <w:ilvl w:val="0"/>
          <w:numId w:val="1005"/>
        </w:numPr>
        <w:pStyle w:val="Compact"/>
      </w:pPr>
      <w:r>
        <w:t xml:space="preserve">Procedimiento si el cliente declara no conocer al BC.</w:t>
      </w:r>
    </w:p>
    <w:bookmarkEnd w:id="25"/>
    <w:bookmarkStart w:id="26" w:name="política-de-peps"/>
    <w:p>
      <w:pPr>
        <w:pStyle w:val="Heading3"/>
      </w:pPr>
      <w:r>
        <w:t xml:space="preserve">6. Política de PEPs</w:t>
      </w:r>
    </w:p>
    <w:p>
      <w:pPr>
        <w:pStyle w:val="FirstParagraph"/>
      </w:pPr>
      <w:r>
        <w:t xml:space="preserve">Elementos mínimos:</w:t>
      </w:r>
    </w:p>
    <w:p>
      <w:pPr>
        <w:numPr>
          <w:ilvl w:val="0"/>
          <w:numId w:val="1006"/>
        </w:numPr>
        <w:pStyle w:val="Compact"/>
      </w:pPr>
      <w:r>
        <w:t xml:space="preserve">Definición de PEP (nacional, extranjero, organismos internacionales).</w:t>
      </w:r>
    </w:p>
    <w:p>
      <w:pPr>
        <w:numPr>
          <w:ilvl w:val="0"/>
          <w:numId w:val="1006"/>
        </w:numPr>
        <w:pStyle w:val="Compact"/>
      </w:pPr>
      <w:r>
        <w:t xml:space="preserve">Lista de fuentes que se consultarán para identificar PEPs (declaraciones patrimoniales, directorios oficiales, listas públicas).</w:t>
      </w:r>
    </w:p>
    <w:p>
      <w:pPr>
        <w:numPr>
          <w:ilvl w:val="0"/>
          <w:numId w:val="1006"/>
        </w:numPr>
        <w:pStyle w:val="Compact"/>
      </w:pPr>
      <w:r>
        <w:t xml:space="preserve">Medidas intensificadas de debida diligencia para operaciones con PEPs.</w:t>
      </w:r>
    </w:p>
    <w:p>
      <w:pPr>
        <w:numPr>
          <w:ilvl w:val="0"/>
          <w:numId w:val="1006"/>
        </w:numPr>
        <w:pStyle w:val="Compact"/>
      </w:pPr>
      <w:r>
        <w:t xml:space="preserve">Vinculación con la política de BC (si el BC es PEP, también aplican medidas intensificadas).</w:t>
      </w:r>
    </w:p>
    <w:bookmarkEnd w:id="26"/>
    <w:bookmarkStart w:id="27" w:name="política-de-conservación-de-documentos"/>
    <w:p>
      <w:pPr>
        <w:pStyle w:val="Heading3"/>
      </w:pPr>
      <w:r>
        <w:t xml:space="preserve">7. Política de conservación de documentos</w:t>
      </w:r>
    </w:p>
    <w:p>
      <w:pPr>
        <w:pStyle w:val="FirstParagraph"/>
      </w:pPr>
      <w:r>
        <w:t xml:space="preserve">Elementos mínimos:</w:t>
      </w:r>
    </w:p>
    <w:p>
      <w:pPr>
        <w:numPr>
          <w:ilvl w:val="0"/>
          <w:numId w:val="1007"/>
        </w:numPr>
        <w:pStyle w:val="Compact"/>
      </w:pPr>
      <w:r>
        <w:t xml:space="preserve">Plazo de conservación (10 años desde la operación, Art. 18 frac. IV).</w:t>
      </w:r>
    </w:p>
    <w:p>
      <w:pPr>
        <w:numPr>
          <w:ilvl w:val="0"/>
          <w:numId w:val="1007"/>
        </w:numPr>
        <w:pStyle w:val="Compact"/>
      </w:pPr>
      <w:r>
        <w:t xml:space="preserve">Tipos de documentos que se conservan (identificaciones, documentación de operaciones, avisos, acuses).</w:t>
      </w:r>
    </w:p>
    <w:p>
      <w:pPr>
        <w:numPr>
          <w:ilvl w:val="0"/>
          <w:numId w:val="1007"/>
        </w:numPr>
        <w:pStyle w:val="Compact"/>
      </w:pPr>
      <w:r>
        <w:t xml:space="preserve">Medios de conservación (físico, electrónico, ambos).</w:t>
      </w:r>
    </w:p>
    <w:p>
      <w:pPr>
        <w:numPr>
          <w:ilvl w:val="0"/>
          <w:numId w:val="1007"/>
        </w:numPr>
        <w:pStyle w:val="Compact"/>
      </w:pPr>
      <w:r>
        <w:t xml:space="preserve">Regla de respaldo 3-2-1 (tres copias, dos medios, una fuera del sitio).</w:t>
      </w:r>
    </w:p>
    <w:p>
      <w:pPr>
        <w:numPr>
          <w:ilvl w:val="0"/>
          <w:numId w:val="1007"/>
        </w:numPr>
        <w:pStyle w:val="Compact"/>
      </w:pPr>
      <w:r>
        <w:t xml:space="preserve">Procedimiento de destrucción segura al cumplirse el plazo.</w:t>
      </w:r>
    </w:p>
    <w:bookmarkEnd w:id="27"/>
    <w:bookmarkStart w:id="28" w:name="política-de-presentación-de-avisos"/>
    <w:p>
      <w:pPr>
        <w:pStyle w:val="Heading3"/>
      </w:pPr>
      <w:r>
        <w:t xml:space="preserve">8. Política de presentación de avisos</w:t>
      </w:r>
    </w:p>
    <w:p>
      <w:pPr>
        <w:pStyle w:val="FirstParagraph"/>
      </w:pPr>
      <w:r>
        <w:t xml:space="preserve">Elementos mínimos:</w:t>
      </w:r>
    </w:p>
    <w:p>
      <w:pPr>
        <w:numPr>
          <w:ilvl w:val="0"/>
          <w:numId w:val="1008"/>
        </w:numPr>
        <w:pStyle w:val="Compact"/>
      </w:pPr>
      <w:r>
        <w:t xml:space="preserve">Tipos de avisos que debe presentar según su actividad (mensual ordinario, inusual 24h, ceros).</w:t>
      </w:r>
    </w:p>
    <w:p>
      <w:pPr>
        <w:numPr>
          <w:ilvl w:val="0"/>
          <w:numId w:val="1008"/>
        </w:numPr>
        <w:pStyle w:val="Compact"/>
      </w:pPr>
      <w:r>
        <w:t xml:space="preserve">Umbrales de aviso por fracción (con valores actualizados en UMA y pesos).</w:t>
      </w:r>
    </w:p>
    <w:p>
      <w:pPr>
        <w:numPr>
          <w:ilvl w:val="0"/>
          <w:numId w:val="1008"/>
        </w:numPr>
        <w:pStyle w:val="Compact"/>
      </w:pPr>
      <w:r>
        <w:t xml:space="preserve">Calendario de presentación (día 17 del mes siguiente, o día hábil siguiente si es inhábil).</w:t>
      </w:r>
    </w:p>
    <w:p>
      <w:pPr>
        <w:numPr>
          <w:ilvl w:val="0"/>
          <w:numId w:val="1008"/>
        </w:numPr>
        <w:pStyle w:val="Compact"/>
      </w:pPr>
      <w:r>
        <w:t xml:space="preserve">Persona responsable de preparar y enviar los avisos.</w:t>
      </w:r>
    </w:p>
    <w:p>
      <w:pPr>
        <w:numPr>
          <w:ilvl w:val="0"/>
          <w:numId w:val="1008"/>
        </w:numPr>
        <w:pStyle w:val="Compact"/>
      </w:pPr>
      <w:r>
        <w:t xml:space="preserve">Procedimiento de verificación de acuses.</w:t>
      </w:r>
    </w:p>
    <w:bookmarkEnd w:id="28"/>
    <w:bookmarkStart w:id="29" w:name="Xb285714ca803ad186fb0994eb9b0aa7e7beadb1"/>
    <w:p>
      <w:pPr>
        <w:pStyle w:val="Heading3"/>
      </w:pPr>
      <w:r>
        <w:t xml:space="preserve">9. Política de detección de operaciones inusuales</w:t>
      </w:r>
    </w:p>
    <w:p>
      <w:pPr>
        <w:pStyle w:val="FirstParagraph"/>
      </w:pPr>
      <w:r>
        <w:t xml:space="preserve">Elementos mínimos:</w:t>
      </w:r>
    </w:p>
    <w:p>
      <w:pPr>
        <w:numPr>
          <w:ilvl w:val="0"/>
          <w:numId w:val="1009"/>
        </w:numPr>
        <w:pStyle w:val="Compact"/>
      </w:pPr>
      <w:r>
        <w:t xml:space="preserve">Criterios o</w:t>
      </w:r>
      <w:r>
        <w:t xml:space="preserve"> </w:t>
      </w:r>
      <w:r>
        <w:t xml:space="preserve">“</w:t>
      </w:r>
      <w:r>
        <w:t xml:space="preserve">banderas rojas</w:t>
      </w:r>
      <w:r>
        <w:t xml:space="preserve">”</w:t>
      </w:r>
      <w:r>
        <w:t xml:space="preserve"> </w:t>
      </w:r>
      <w:r>
        <w:t xml:space="preserve">para identificar operaciones inusuales (montos elevados, frecuencia inusual, estructuras complejas sin justificación, clientes de jurisdicciones de alto riesgo, etc.).</w:t>
      </w:r>
    </w:p>
    <w:p>
      <w:pPr>
        <w:numPr>
          <w:ilvl w:val="0"/>
          <w:numId w:val="1009"/>
        </w:numPr>
        <w:pStyle w:val="Compact"/>
      </w:pPr>
      <w:r>
        <w:t xml:space="preserve">Procedimiento de escalamiento: quien detecte la operación inusual debe reportarla al responsable de cumplimiento.</w:t>
      </w:r>
    </w:p>
    <w:p>
      <w:pPr>
        <w:numPr>
          <w:ilvl w:val="0"/>
          <w:numId w:val="1009"/>
        </w:numPr>
        <w:pStyle w:val="Compact"/>
      </w:pPr>
      <w:r>
        <w:t xml:space="preserve">Plazo para analizar y decidir si se presenta aviso.</w:t>
      </w:r>
    </w:p>
    <w:p>
      <w:pPr>
        <w:numPr>
          <w:ilvl w:val="0"/>
          <w:numId w:val="1009"/>
        </w:numPr>
        <w:pStyle w:val="Compact"/>
      </w:pPr>
      <w:r>
        <w:t xml:space="preserve">Registro de operaciones</w:t>
      </w:r>
      <w:r>
        <w:t xml:space="preserve"> </w:t>
      </w:r>
      <w:r>
        <w:t xml:space="preserve">“</w:t>
      </w:r>
      <w:r>
        <w:t xml:space="preserve">revisadas y no reportadas</w:t>
      </w:r>
      <w:r>
        <w:t xml:space="preserve">”</w:t>
      </w:r>
      <w:r>
        <w:t xml:space="preserve"> </w:t>
      </w:r>
      <w:r>
        <w:t xml:space="preserve">(justificación documentada de por qué no se consideró inusual).</w:t>
      </w:r>
    </w:p>
    <w:bookmarkEnd w:id="29"/>
    <w:bookmarkStart w:id="30" w:name="política-de-capacitación-del-personal"/>
    <w:p>
      <w:pPr>
        <w:pStyle w:val="Heading3"/>
      </w:pPr>
      <w:r>
        <w:t xml:space="preserve">10. Política de capacitación del personal</w:t>
      </w:r>
    </w:p>
    <w:p>
      <w:pPr>
        <w:pStyle w:val="FirstParagraph"/>
      </w:pPr>
      <w:r>
        <w:t xml:space="preserve">Elementos mínimos:</w:t>
      </w:r>
    </w:p>
    <w:p>
      <w:pPr>
        <w:numPr>
          <w:ilvl w:val="0"/>
          <w:numId w:val="1010"/>
        </w:numPr>
        <w:pStyle w:val="Compact"/>
      </w:pPr>
      <w:r>
        <w:t xml:space="preserve">Frecuencia de la capacitación (mínimo anual, recomendable semestral).</w:t>
      </w:r>
    </w:p>
    <w:p>
      <w:pPr>
        <w:numPr>
          <w:ilvl w:val="0"/>
          <w:numId w:val="1010"/>
        </w:numPr>
        <w:pStyle w:val="Compact"/>
      </w:pPr>
      <w:r>
        <w:t xml:space="preserve">Contenidos mínimos (conceptos de PLD, obligaciones del sujeto obligado, procedimientos internos, cómo detectar operaciones inusuales).</w:t>
      </w:r>
    </w:p>
    <w:p>
      <w:pPr>
        <w:numPr>
          <w:ilvl w:val="0"/>
          <w:numId w:val="1010"/>
        </w:numPr>
        <w:pStyle w:val="Compact"/>
      </w:pPr>
      <w:r>
        <w:t xml:space="preserve">Registro de capacitación (lista de asistentes, fecha, temas, evaluaciones).</w:t>
      </w:r>
    </w:p>
    <w:p>
      <w:pPr>
        <w:numPr>
          <w:ilvl w:val="0"/>
          <w:numId w:val="1010"/>
        </w:numPr>
        <w:pStyle w:val="Compact"/>
      </w:pPr>
      <w:r>
        <w:t xml:space="preserve">Capacitación inicial para personal de nuevo ingreso.</w:t>
      </w:r>
    </w:p>
    <w:bookmarkEnd w:id="30"/>
    <w:bookmarkStart w:id="31" w:name="política-de-confidencialidad"/>
    <w:p>
      <w:pPr>
        <w:pStyle w:val="Heading3"/>
      </w:pPr>
      <w:r>
        <w:t xml:space="preserve">11. Política de confidencialidad</w:t>
      </w:r>
    </w:p>
    <w:p>
      <w:pPr>
        <w:pStyle w:val="FirstParagraph"/>
      </w:pPr>
      <w:r>
        <w:t xml:space="preserve">Elementos mínimos:</w:t>
      </w:r>
    </w:p>
    <w:p>
      <w:pPr>
        <w:numPr>
          <w:ilvl w:val="0"/>
          <w:numId w:val="1011"/>
        </w:numPr>
        <w:pStyle w:val="Compact"/>
      </w:pPr>
      <w:r>
        <w:t xml:space="preserve">Deber de reserva sobre la información de los clientes (Art. 21 LFPIORPI).</w:t>
      </w:r>
    </w:p>
    <w:p>
      <w:pPr>
        <w:numPr>
          <w:ilvl w:val="0"/>
          <w:numId w:val="1011"/>
        </w:numPr>
        <w:pStyle w:val="Compact"/>
      </w:pPr>
      <w:r>
        <w:t xml:space="preserve">Prohibición de revelar al cliente que se ha presentado un aviso sobre él.</w:t>
      </w:r>
    </w:p>
    <w:p>
      <w:pPr>
        <w:numPr>
          <w:ilvl w:val="0"/>
          <w:numId w:val="1011"/>
        </w:numPr>
        <w:pStyle w:val="Compact"/>
      </w:pPr>
      <w:r>
        <w:t xml:space="preserve">Sanciones internas por violación de la confidencialidad.</w:t>
      </w:r>
    </w:p>
    <w:p>
      <w:pPr>
        <w:numPr>
          <w:ilvl w:val="0"/>
          <w:numId w:val="1011"/>
        </w:numPr>
        <w:pStyle w:val="Compact"/>
      </w:pPr>
      <w:r>
        <w:t xml:space="preserve">Autorizaciones de acceso a la información (quién puede ver qué).</w:t>
      </w:r>
    </w:p>
    <w:bookmarkEnd w:id="31"/>
    <w:bookmarkStart w:id="32" w:name="X0e75caff5d36958c97729675c7380229540e30c"/>
    <w:p>
      <w:pPr>
        <w:pStyle w:val="Heading3"/>
      </w:pPr>
      <w:r>
        <w:t xml:space="preserve">12. Designación del representante de cumplimiento</w:t>
      </w:r>
    </w:p>
    <w:p>
      <w:pPr>
        <w:pStyle w:val="FirstParagraph"/>
      </w:pPr>
      <w:r>
        <w:t xml:space="preserve">Elementos mínimos:</w:t>
      </w:r>
    </w:p>
    <w:p>
      <w:pPr>
        <w:numPr>
          <w:ilvl w:val="0"/>
          <w:numId w:val="1012"/>
        </w:numPr>
        <w:pStyle w:val="Compact"/>
      </w:pPr>
      <w:r>
        <w:t xml:space="preserve">Nombre, cargo y datos de contacto del representante de cumplimiento (Artículo 20 de la LFPIORPI).</w:t>
      </w:r>
    </w:p>
    <w:p>
      <w:pPr>
        <w:numPr>
          <w:ilvl w:val="0"/>
          <w:numId w:val="1012"/>
        </w:numPr>
        <w:pStyle w:val="Compact"/>
      </w:pPr>
      <w:r>
        <w:t xml:space="preserve">Facultades y responsabilidades del representante.</w:t>
      </w:r>
    </w:p>
    <w:p>
      <w:pPr>
        <w:numPr>
          <w:ilvl w:val="0"/>
          <w:numId w:val="1012"/>
        </w:numPr>
        <w:pStyle w:val="Compact"/>
      </w:pPr>
      <w:r>
        <w:t xml:space="preserve">Suplencia (quién lo reemplaza en ausencias).</w:t>
      </w:r>
    </w:p>
    <w:p>
      <w:pPr>
        <w:numPr>
          <w:ilvl w:val="0"/>
          <w:numId w:val="1012"/>
        </w:numPr>
        <w:pStyle w:val="Compact"/>
      </w:pPr>
      <w:r>
        <w:t xml:space="preserve">Procedimiento de notificación al SAT en caso de cambio de representante.</w:t>
      </w:r>
    </w:p>
    <w:bookmarkEnd w:id="32"/>
    <w:bookmarkStart w:id="33" w:name="procedimiento-de-auditoría-interna"/>
    <w:p>
      <w:pPr>
        <w:pStyle w:val="Heading3"/>
      </w:pPr>
      <w:r>
        <w:t xml:space="preserve">13. Procedimiento de auditoría interna</w:t>
      </w:r>
    </w:p>
    <w:p>
      <w:pPr>
        <w:pStyle w:val="FirstParagraph"/>
      </w:pPr>
      <w:r>
        <w:t xml:space="preserve">Elementos mínimos:</w:t>
      </w:r>
    </w:p>
    <w:p>
      <w:pPr>
        <w:numPr>
          <w:ilvl w:val="0"/>
          <w:numId w:val="1013"/>
        </w:numPr>
        <w:pStyle w:val="Compact"/>
      </w:pPr>
      <w:r>
        <w:t xml:space="preserve">Frecuencia (anual, Art. 18, frac. XI).</w:t>
      </w:r>
    </w:p>
    <w:p>
      <w:pPr>
        <w:numPr>
          <w:ilvl w:val="0"/>
          <w:numId w:val="1013"/>
        </w:numPr>
        <w:pStyle w:val="Compact"/>
      </w:pPr>
      <w:r>
        <w:t xml:space="preserve">Alcance (qué se revisa: expedientes, avisos, políticas, capacitación).</w:t>
      </w:r>
    </w:p>
    <w:p>
      <w:pPr>
        <w:numPr>
          <w:ilvl w:val="0"/>
          <w:numId w:val="1013"/>
        </w:numPr>
        <w:pStyle w:val="Compact"/>
      </w:pPr>
      <w:r>
        <w:t xml:space="preserve">Metodología (muestreo de expedientes, revisión de acuses, verificación de plazos).</w:t>
      </w:r>
    </w:p>
    <w:p>
      <w:pPr>
        <w:numPr>
          <w:ilvl w:val="0"/>
          <w:numId w:val="1013"/>
        </w:numPr>
        <w:pStyle w:val="Compact"/>
      </w:pPr>
      <w:r>
        <w:t xml:space="preserve">Documentación de resultados (informe de auditoría con hallazgos y recomendaciones).</w:t>
      </w:r>
    </w:p>
    <w:p>
      <w:pPr>
        <w:numPr>
          <w:ilvl w:val="0"/>
          <w:numId w:val="1013"/>
        </w:numPr>
        <w:pStyle w:val="Compact"/>
      </w:pPr>
      <w:r>
        <w:t xml:space="preserve">Plan de acción correctiva.</w:t>
      </w:r>
    </w:p>
    <w:bookmarkEnd w:id="33"/>
    <w:bookmarkStart w:id="34" w:name="X27371eb4664272f906bd075080583a01bf947e6"/>
    <w:p>
      <w:pPr>
        <w:pStyle w:val="Heading3"/>
      </w:pPr>
      <w:r>
        <w:t xml:space="preserve">14. Protocolo de atención a visitas de verificación</w:t>
      </w:r>
    </w:p>
    <w:p>
      <w:pPr>
        <w:pStyle w:val="FirstParagraph"/>
      </w:pPr>
      <w:r>
        <w:t xml:space="preserve">Elementos mínimos:</w:t>
      </w:r>
    </w:p>
    <w:p>
      <w:pPr>
        <w:numPr>
          <w:ilvl w:val="0"/>
          <w:numId w:val="1014"/>
        </w:numPr>
        <w:pStyle w:val="Compact"/>
      </w:pPr>
      <w:r>
        <w:t xml:space="preserve">Quién atiende la visita (el representante de cumplimiento, con apoyo del área legal si existe).</w:t>
      </w:r>
    </w:p>
    <w:p>
      <w:pPr>
        <w:numPr>
          <w:ilvl w:val="0"/>
          <w:numId w:val="1014"/>
        </w:numPr>
        <w:pStyle w:val="Compact"/>
      </w:pPr>
      <w:r>
        <w:t xml:space="preserve">Documentación que debe tenerse disponible (expedientes, Manual, avisos, acuses).</w:t>
      </w:r>
    </w:p>
    <w:p>
      <w:pPr>
        <w:numPr>
          <w:ilvl w:val="0"/>
          <w:numId w:val="1014"/>
        </w:numPr>
        <w:pStyle w:val="Compact"/>
      </w:pPr>
      <w:r>
        <w:t xml:space="preserve">Derechos del sujeto obligado durante la visita (Art. 52-56 LFPIORPI).</w:t>
      </w:r>
    </w:p>
    <w:p>
      <w:pPr>
        <w:numPr>
          <w:ilvl w:val="0"/>
          <w:numId w:val="1014"/>
        </w:numPr>
        <w:pStyle w:val="Compact"/>
      </w:pPr>
      <w:r>
        <w:t xml:space="preserve">Procedimiento de impugnación si no se está de acuerdo con el resultado.</w:t>
      </w:r>
    </w:p>
    <w:p>
      <w:r>
        <w:pict>
          <v:rect style="width:0;height:1.5pt" o:hralign="center" o:hrstd="t" o:hr="t"/>
        </w:pict>
      </w:r>
    </w:p>
    <w:bookmarkEnd w:id="34"/>
    <w:bookmarkEnd w:id="35"/>
    <w:bookmarkStart w:id="36" w:name="checklist-de-integración-del-manual"/>
    <w:p>
      <w:pPr>
        <w:pStyle w:val="Heading2"/>
      </w:pPr>
      <w:r>
        <w:t xml:space="preserve">Checklist de integración del Manual</w:t>
      </w:r>
    </w:p>
    <w:p>
      <w:pPr>
        <w:pStyle w:val="FirstParagraph"/>
      </w:pPr>
      <w:r>
        <w:t xml:space="preserve">Antes de dar por terminado el Manual, verifique cada punto:</w:t>
      </w:r>
    </w:p>
    <w:p>
      <w:pPr>
        <w:numPr>
          <w:ilvl w:val="0"/>
          <w:numId w:val="1015"/>
        </w:numPr>
        <w:pStyle w:val="Compact"/>
      </w:pPr>
      <w:r>
        <w:t xml:space="preserve">Portada con nombre, RFC y versión</w:t>
      </w:r>
    </w:p>
    <w:p>
      <w:pPr>
        <w:numPr>
          <w:ilvl w:val="0"/>
          <w:numId w:val="1015"/>
        </w:numPr>
        <w:pStyle w:val="Compact"/>
      </w:pPr>
      <w:r>
        <w:t xml:space="preserve">Control de versiones con historial</w:t>
      </w:r>
    </w:p>
    <w:p>
      <w:pPr>
        <w:numPr>
          <w:ilvl w:val="0"/>
          <w:numId w:val="1015"/>
        </w:numPr>
        <w:pStyle w:val="Compact"/>
      </w:pPr>
      <w:r>
        <w:t xml:space="preserve">Marco normativo citado con referencias DOF</w:t>
      </w:r>
    </w:p>
    <w:p>
      <w:pPr>
        <w:numPr>
          <w:ilvl w:val="0"/>
          <w:numId w:val="1015"/>
        </w:numPr>
        <w:pStyle w:val="Compact"/>
      </w:pPr>
      <w:r>
        <w:t xml:space="preserve">Declaración de actividades vulnerables realizadas</w:t>
      </w:r>
    </w:p>
    <w:p>
      <w:pPr>
        <w:numPr>
          <w:ilvl w:val="0"/>
          <w:numId w:val="1015"/>
        </w:numPr>
        <w:pStyle w:val="Compact"/>
      </w:pPr>
      <w:r>
        <w:t xml:space="preserve">Umbrales de identificación y aviso en UMA y pesos</w:t>
      </w:r>
    </w:p>
    <w:p>
      <w:pPr>
        <w:numPr>
          <w:ilvl w:val="0"/>
          <w:numId w:val="1015"/>
        </w:numPr>
        <w:pStyle w:val="Compact"/>
      </w:pPr>
      <w:r>
        <w:t xml:space="preserve">Política KYC con documentos requeridos</w:t>
      </w:r>
    </w:p>
    <w:p>
      <w:pPr>
        <w:numPr>
          <w:ilvl w:val="0"/>
          <w:numId w:val="1015"/>
        </w:numPr>
        <w:pStyle w:val="Compact"/>
      </w:pPr>
      <w:r>
        <w:t xml:space="preserve">Política de BC con procedimiento de identificación</w:t>
      </w:r>
    </w:p>
    <w:p>
      <w:pPr>
        <w:numPr>
          <w:ilvl w:val="0"/>
          <w:numId w:val="1015"/>
        </w:numPr>
        <w:pStyle w:val="Compact"/>
      </w:pPr>
      <w:r>
        <w:t xml:space="preserve">Política de PEPs con fuentes de consulta</w:t>
      </w:r>
    </w:p>
    <w:p>
      <w:pPr>
        <w:numPr>
          <w:ilvl w:val="0"/>
          <w:numId w:val="1015"/>
        </w:numPr>
        <w:pStyle w:val="Compact"/>
      </w:pPr>
      <w:r>
        <w:t xml:space="preserve">Política de conservación a 10 años</w:t>
      </w:r>
    </w:p>
    <w:p>
      <w:pPr>
        <w:numPr>
          <w:ilvl w:val="0"/>
          <w:numId w:val="1015"/>
        </w:numPr>
        <w:pStyle w:val="Compact"/>
      </w:pPr>
      <w:r>
        <w:t xml:space="preserve">Política de avisos con tipos y plazos</w:t>
      </w:r>
    </w:p>
    <w:p>
      <w:pPr>
        <w:numPr>
          <w:ilvl w:val="0"/>
          <w:numId w:val="1015"/>
        </w:numPr>
        <w:pStyle w:val="Compact"/>
      </w:pPr>
      <w:r>
        <w:t xml:space="preserve">Política de detección de inusuales con banderas rojas</w:t>
      </w:r>
    </w:p>
    <w:p>
      <w:pPr>
        <w:numPr>
          <w:ilvl w:val="0"/>
          <w:numId w:val="1015"/>
        </w:numPr>
        <w:pStyle w:val="Compact"/>
      </w:pPr>
      <w:r>
        <w:t xml:space="preserve">Política de capacitación con frecuencia y contenidos</w:t>
      </w:r>
    </w:p>
    <w:p>
      <w:pPr>
        <w:numPr>
          <w:ilvl w:val="0"/>
          <w:numId w:val="1015"/>
        </w:numPr>
        <w:pStyle w:val="Compact"/>
      </w:pPr>
      <w:r>
        <w:t xml:space="preserve">Política de confidencialidad</w:t>
      </w:r>
    </w:p>
    <w:p>
      <w:pPr>
        <w:numPr>
          <w:ilvl w:val="0"/>
          <w:numId w:val="1015"/>
        </w:numPr>
        <w:pStyle w:val="Compact"/>
      </w:pPr>
      <w:r>
        <w:t xml:space="preserve">Designación del representante de cumplimiento</w:t>
      </w:r>
    </w:p>
    <w:p>
      <w:pPr>
        <w:numPr>
          <w:ilvl w:val="0"/>
          <w:numId w:val="1015"/>
        </w:numPr>
        <w:pStyle w:val="Compact"/>
      </w:pPr>
      <w:r>
        <w:t xml:space="preserve">Procedimiento de auditoría interna anual</w:t>
      </w:r>
    </w:p>
    <w:p>
      <w:pPr>
        <w:numPr>
          <w:ilvl w:val="0"/>
          <w:numId w:val="1015"/>
        </w:numPr>
        <w:pStyle w:val="Compact"/>
      </w:pPr>
      <w:r>
        <w:t xml:space="preserve">Protocolo de atención a visitas de verificación</w:t>
      </w:r>
    </w:p>
    <w:p>
      <w:pPr>
        <w:numPr>
          <w:ilvl w:val="0"/>
          <w:numId w:val="1015"/>
        </w:numPr>
        <w:pStyle w:val="Compact"/>
      </w:pPr>
      <w:r>
        <w:t xml:space="preserve">Anexo: copia del formato de alta en el padrón AV</w:t>
      </w:r>
    </w:p>
    <w:p>
      <w:pPr>
        <w:numPr>
          <w:ilvl w:val="0"/>
          <w:numId w:val="1015"/>
        </w:numPr>
        <w:pStyle w:val="Compact"/>
      </w:pPr>
      <w:r>
        <w:t xml:space="preserve">Anexo: directorio de contactos (SAT, SPPLD, UIF)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Plantilla elaborada con base en el Cap. 25 del libro</w:t>
      </w:r>
      <w:r>
        <w:rPr>
          <w:iCs/>
          <w:i/>
        </w:rPr>
        <w:t xml:space="preserve"> </w:t>
      </w:r>
      <w:r>
        <w:rPr>
          <w:iCs/>
          <w:i/>
        </w:rPr>
        <w:t xml:space="preserve">“</w:t>
      </w:r>
      <w:r>
        <w:rPr>
          <w:iCs/>
          <w:i/>
        </w:rPr>
        <w:t xml:space="preserve">Sujetos Obligados: Manual de cumplimiento LFPIORPI</w:t>
      </w:r>
      <w:r>
        <w:rPr>
          <w:iCs/>
          <w:i/>
        </w:rPr>
        <w:t xml:space="preserve">”</w:t>
      </w:r>
      <w:r>
        <w:rPr>
          <w:iCs/>
          <w:i/>
        </w:rPr>
        <w:t xml:space="preserve"> </w:t>
      </w:r>
      <w:r>
        <w:rPr>
          <w:iCs/>
          <w:i/>
        </w:rPr>
        <w:t xml:space="preserve">de Sergio Armando Cortina Ceballos. Estado: pendiente-citecheck. UMA 2026: $117.31 (DOF 09-ene-2026).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2026-05-26T22:56:11Z</dcterms:created>
  <dcterms:modified xsi:type="dcterms:W3CDTF">2026-05-26T22:56:11Z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